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Марийского УФАС России от 23.11.2021 по делу N 012/06/106-1065/2021</w:t>
      </w:r>
    </w:p>
    <w:p>
      <w:pPr>
        <w:pStyle w:val="0"/>
        <w:jc w:val="both"/>
      </w:pPr>
      <w:r>
        <w:rPr>
          <w:sz w:val="20"/>
        </w:rPr>
        <w:t xml:space="preserve">Нарушение: п. 2 ч. 6 ст. 69 Закона о контрактной системе.</w:t>
      </w:r>
    </w:p>
    <w:p>
      <w:pPr>
        <w:pStyle w:val="0"/>
        <w:jc w:val="both"/>
      </w:pPr>
      <w:r>
        <w:rPr>
          <w:sz w:val="20"/>
        </w:rPr>
        <w:t xml:space="preserve">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25.11.2021.</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РЕСПУБЛИКЕ МАРИЙ ЭЛ</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23 ноября 2021 г. по делу N 012/06/106-1065/2021</w:t>
      </w:r>
    </w:p>
    <w:p>
      <w:pPr>
        <w:pStyle w:val="0"/>
        <w:ind w:firstLine="540"/>
        <w:jc w:val="both"/>
      </w:pPr>
      <w:r>
        <w:rPr>
          <w:sz w:val="20"/>
        </w:rPr>
      </w:r>
    </w:p>
    <w:p>
      <w:pPr>
        <w:pStyle w:val="0"/>
        <w:ind w:firstLine="540"/>
        <w:jc w:val="both"/>
      </w:pPr>
      <w:r>
        <w:rPr>
          <w:sz w:val="20"/>
        </w:rPr>
        <w:t xml:space="preserve">Комиссия Управления Федеральной антимонопольной службы по Республике Марий Эл по контролю в сфере закупок (далее - Комиссия) в составе:</w:t>
      </w:r>
    </w:p>
    <w:p>
      <w:pPr>
        <w:pStyle w:val="0"/>
        <w:spacing w:before="200" w:line-rule="auto"/>
        <w:ind w:firstLine="540"/>
        <w:jc w:val="both"/>
      </w:pPr>
      <w:r>
        <w:rPr>
          <w:sz w:val="20"/>
        </w:rPr>
        <w:t xml:space="preserve">Председателя Комиссии - заместителя руководителя - начальника отдела контроля закупок и антимонопольного контроля органов власти</w:t>
      </w:r>
    </w:p>
    <w:p>
      <w:pPr>
        <w:pStyle w:val="0"/>
        <w:spacing w:before="200" w:line-rule="auto"/>
        <w:ind w:firstLine="540"/>
        <w:jc w:val="both"/>
      </w:pPr>
      <w:r>
        <w:rPr>
          <w:sz w:val="20"/>
        </w:rPr>
        <w:t xml:space="preserve">членов Комиссии:</w:t>
      </w:r>
    </w:p>
    <w:p>
      <w:pPr>
        <w:pStyle w:val="0"/>
        <w:spacing w:before="200" w:line-rule="auto"/>
        <w:ind w:firstLine="540"/>
        <w:jc w:val="both"/>
      </w:pPr>
      <w:r>
        <w:rPr>
          <w:sz w:val="20"/>
        </w:rPr>
        <w:t xml:space="preserve">- государственного инспектора отдела контроля закупок и антимонопольного контроля органов власти;</w:t>
      </w:r>
    </w:p>
    <w:p>
      <w:pPr>
        <w:pStyle w:val="0"/>
        <w:spacing w:before="200" w:line-rule="auto"/>
        <w:ind w:firstLine="540"/>
        <w:jc w:val="both"/>
      </w:pPr>
      <w:r>
        <w:rPr>
          <w:sz w:val="20"/>
        </w:rPr>
        <w:t xml:space="preserve">- специалиста-эксперта отдела контроля закупок и антимонопольного контроля органов власти;</w:t>
      </w:r>
    </w:p>
    <w:p>
      <w:pPr>
        <w:pStyle w:val="0"/>
        <w:spacing w:before="200" w:line-rule="auto"/>
        <w:ind w:firstLine="540"/>
        <w:jc w:val="both"/>
      </w:pPr>
      <w:r>
        <w:rPr>
          <w:sz w:val="20"/>
        </w:rPr>
        <w:t xml:space="preserve">в присутствии представителей заказчика -(на основании доверенности);</w:t>
      </w:r>
    </w:p>
    <w:p>
      <w:pPr>
        <w:pStyle w:val="0"/>
        <w:spacing w:before="200" w:line-rule="auto"/>
        <w:ind w:firstLine="540"/>
        <w:jc w:val="both"/>
      </w:pPr>
      <w:r>
        <w:rPr>
          <w:sz w:val="20"/>
        </w:rPr>
        <w:t xml:space="preserve">в отсутствие иных лиц, участвующих в деле, надлежаще извещенных о месте, времени рассмотрения дела,</w:t>
      </w:r>
    </w:p>
    <w:p>
      <w:pPr>
        <w:pStyle w:val="0"/>
        <w:spacing w:before="200" w:line-rule="auto"/>
        <w:ind w:firstLine="540"/>
        <w:jc w:val="both"/>
      </w:pPr>
      <w:r>
        <w:rPr>
          <w:sz w:val="20"/>
        </w:rPr>
        <w:t xml:space="preserve">рассмотрев посредством системы видеоконференцсвязи жалобу ООО "Т" от 18.11.2021 на действия заказчика, ГБУ Республики Марий Эл "С", при проведении электронного аукциона на поставку автомобильных шин: (извещение в единой информационной системы в сфере закупок в информационно-телекоммуникационной сети "Интернет" </w:t>
      </w:r>
      <w:r>
        <w:rPr>
          <w:sz w:val="20"/>
        </w:rPr>
        <w:t xml:space="preserve">http://zakupki.gov.ru</w:t>
      </w:r>
      <w:r>
        <w:rPr>
          <w:sz w:val="20"/>
        </w:rPr>
        <w:t xml:space="preserve"> N 0308300014121000049 от 29.10.2021),</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Заказчиком проводится аукцион в электронной форме на поставку автомобильных шин.</w:t>
      </w:r>
    </w:p>
    <w:p>
      <w:pPr>
        <w:pStyle w:val="0"/>
        <w:spacing w:before="200" w:line-rule="auto"/>
        <w:ind w:firstLine="540"/>
        <w:jc w:val="both"/>
      </w:pPr>
      <w:r>
        <w:rPr>
          <w:sz w:val="20"/>
        </w:rPr>
        <w:t xml:space="preserve">Извещение N 0308300014121000049 о проведении данного электронного аукциона, аукционная документация размещены заказчиком в Единой информационной системе в сфере закупок 29.10.2021.</w:t>
      </w:r>
    </w:p>
    <w:p>
      <w:pPr>
        <w:pStyle w:val="0"/>
        <w:spacing w:before="200" w:line-rule="auto"/>
        <w:ind w:firstLine="540"/>
        <w:jc w:val="both"/>
      </w:pPr>
      <w:r>
        <w:rPr>
          <w:sz w:val="20"/>
        </w:rPr>
        <w:t xml:space="preserve">Согласно </w:t>
      </w:r>
      <w:r>
        <w:rPr>
          <w:sz w:val="20"/>
        </w:rPr>
        <w:t xml:space="preserve">части 1 статьи 105</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любой участник закупки в соответствии с законодательством Российской Федерации имеет право обжаловать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pPr>
        <w:pStyle w:val="0"/>
        <w:spacing w:before="200" w:line-rule="auto"/>
        <w:ind w:firstLine="540"/>
        <w:jc w:val="both"/>
      </w:pPr>
      <w:r>
        <w:rPr>
          <w:sz w:val="20"/>
        </w:rPr>
        <w:t xml:space="preserve">В соответствии с </w:t>
      </w:r>
      <w:r>
        <w:rPr>
          <w:sz w:val="20"/>
        </w:rPr>
        <w:t xml:space="preserve">частью 4 статьи 105</w:t>
      </w:r>
      <w:r>
        <w:rPr>
          <w:sz w:val="20"/>
        </w:rPr>
        <w:t xml:space="preserve"> Закона о контрактной системе обжалование действий комиссии по осуществлению закупок, ее членов, в случае, если данные действия (бездействие) совершены при проведении электронной процедуры, осуществляется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пять дней с даты размещения в единой информационной системе протокола подведения итогов электронного аукциона.</w:t>
      </w:r>
    </w:p>
    <w:p>
      <w:pPr>
        <w:pStyle w:val="0"/>
        <w:spacing w:before="200" w:line-rule="auto"/>
        <w:ind w:firstLine="540"/>
        <w:jc w:val="both"/>
      </w:pPr>
      <w:r>
        <w:rPr>
          <w:sz w:val="20"/>
        </w:rPr>
        <w:t xml:space="preserve">Так, в Управление Федеральной антимонопольной службы по Республике Марий Эл в предусмотренные законом сроки поступила жалоба ООО "Т" на действия заказчика при проведении указанного электронного аукциона.</w:t>
      </w:r>
    </w:p>
    <w:p>
      <w:pPr>
        <w:pStyle w:val="0"/>
        <w:spacing w:before="200" w:line-rule="auto"/>
        <w:ind w:firstLine="540"/>
        <w:jc w:val="both"/>
      </w:pPr>
      <w:r>
        <w:rPr>
          <w:sz w:val="20"/>
        </w:rPr>
        <w:t xml:space="preserve">В обосновании своей позиции заявитель указал, что заказчик, неверно подошел к оценке соответствия участника закупки требованиям </w:t>
      </w:r>
      <w:r>
        <w:rPr>
          <w:sz w:val="20"/>
        </w:rPr>
        <w:t xml:space="preserve">Закона</w:t>
      </w:r>
      <w:r>
        <w:rPr>
          <w:sz w:val="20"/>
        </w:rPr>
        <w:t xml:space="preserve"> о контрактной системе и документации об аукционе и незаконно отклонил вторую часть заявки на участие в закупочной процедуре.</w:t>
      </w:r>
    </w:p>
    <w:p>
      <w:pPr>
        <w:pStyle w:val="0"/>
        <w:spacing w:before="200" w:line-rule="auto"/>
        <w:ind w:firstLine="540"/>
        <w:jc w:val="both"/>
      </w:pPr>
      <w:r>
        <w:rPr>
          <w:sz w:val="20"/>
        </w:rPr>
        <w:t xml:space="preserve">Заказчик с доводами жалобы согласился, представил письменные и устные пояснения в рамках рассмотерния жалобы.</w:t>
      </w:r>
    </w:p>
    <w:p>
      <w:pPr>
        <w:pStyle w:val="0"/>
        <w:spacing w:before="200" w:line-rule="auto"/>
        <w:ind w:firstLine="540"/>
        <w:jc w:val="both"/>
      </w:pPr>
      <w:r>
        <w:rPr>
          <w:sz w:val="20"/>
        </w:rPr>
        <w:t xml:space="preserve">Изучив материалы дела, проанализировав содержание жалобы Заявителя, действия единой Комиссии Заказчика, исследовав имеющиеся в деле доказательства, Комиссия Марийского УФАС России установила следующее.</w:t>
      </w:r>
    </w:p>
    <w:p>
      <w:pPr>
        <w:pStyle w:val="0"/>
        <w:spacing w:before="200" w:line-rule="auto"/>
        <w:ind w:firstLine="540"/>
        <w:jc w:val="both"/>
      </w:pPr>
      <w:r>
        <w:rPr>
          <w:sz w:val="20"/>
        </w:rPr>
        <w:t xml:space="preserve">Извещение и документация о проведении Аукциона размещены на официальном сайте единой информационной системы в сфере закупок: </w:t>
      </w:r>
      <w:r>
        <w:rPr>
          <w:sz w:val="20"/>
        </w:rPr>
        <w:t xml:space="preserve">http://zakupki.gov.ru</w:t>
      </w:r>
      <w:r>
        <w:rPr>
          <w:sz w:val="20"/>
        </w:rPr>
        <w:t xml:space="preserve"> (далее - ЕИС) 29.10.2021 г.</w:t>
      </w:r>
    </w:p>
    <w:p>
      <w:pPr>
        <w:pStyle w:val="0"/>
        <w:spacing w:before="200" w:line-rule="auto"/>
        <w:ind w:firstLine="540"/>
        <w:jc w:val="both"/>
      </w:pPr>
      <w:r>
        <w:rPr>
          <w:sz w:val="20"/>
        </w:rPr>
        <w:t xml:space="preserve">Начальная (максимальная) цена контракта: 992 952,00 рублей.</w:t>
      </w:r>
    </w:p>
    <w:p>
      <w:pPr>
        <w:pStyle w:val="0"/>
        <w:spacing w:before="200" w:line-rule="auto"/>
        <w:ind w:firstLine="540"/>
        <w:jc w:val="both"/>
      </w:pPr>
      <w:r>
        <w:rPr>
          <w:sz w:val="20"/>
        </w:rPr>
        <w:t xml:space="preserve">Дата и время окончания срока подачи заявок: 29.10.2021 14:13.</w:t>
      </w:r>
    </w:p>
    <w:p>
      <w:pPr>
        <w:pStyle w:val="0"/>
        <w:spacing w:before="200" w:line-rule="auto"/>
        <w:ind w:firstLine="540"/>
        <w:jc w:val="both"/>
      </w:pPr>
      <w:r>
        <w:rPr>
          <w:sz w:val="20"/>
        </w:rPr>
        <w:t xml:space="preserve">Дата окончания срока рассмотрения заявок: 15.11.2021 12:00.</w:t>
      </w:r>
    </w:p>
    <w:p>
      <w:pPr>
        <w:pStyle w:val="0"/>
        <w:spacing w:before="200" w:line-rule="auto"/>
        <w:ind w:firstLine="540"/>
        <w:jc w:val="both"/>
      </w:pPr>
      <w:r>
        <w:rPr>
          <w:sz w:val="20"/>
        </w:rPr>
        <w:t xml:space="preserve">Дата и время проведения Аукциона: 17.11.2021 12:20.</w:t>
      </w:r>
    </w:p>
    <w:p>
      <w:pPr>
        <w:pStyle w:val="0"/>
        <w:spacing w:before="200" w:line-rule="auto"/>
        <w:ind w:firstLine="540"/>
        <w:jc w:val="both"/>
      </w:pPr>
      <w:r>
        <w:rPr>
          <w:sz w:val="20"/>
        </w:rPr>
        <w:t xml:space="preserve">Согласно протоколу рассмотрения заявок на участие в электронном аукционе 0308300014121000049-1 от 16.11.2021 по результатам рассмотрения первых частей заявок на участие в электронном аукционе единой Комиссией принято решение о допуске к участию в электронном аукционе и признании участниками аукциона участников, подавших заявки на участие в электронном аукционе с идентификационными номерами: 37, 129, 38, 140, 239, 87.</w:t>
      </w:r>
    </w:p>
    <w:p>
      <w:pPr>
        <w:pStyle w:val="0"/>
        <w:spacing w:before="200" w:line-rule="auto"/>
        <w:ind w:firstLine="540"/>
        <w:jc w:val="both"/>
      </w:pPr>
      <w:r>
        <w:rPr>
          <w:sz w:val="20"/>
        </w:rPr>
        <w:t xml:space="preserve">В ходе рассмотрения вторых частей заявок участников Аукциона единой Комиссией принято решение о соответствии заявок участников Аукциона с идентификационными номерами: 37, 129, 38, 239, 87 требованиям документации об аукционе, заявка под идентификационным номером 140 (заявка Заявителя) признана несоответствующей требованиям документации об аукционе "на основании </w:t>
      </w:r>
      <w:r>
        <w:rPr>
          <w:sz w:val="20"/>
        </w:rPr>
        <w:t xml:space="preserve">п. 2 ч. 6 ст. 69</w:t>
      </w:r>
      <w:r>
        <w:rPr>
          <w:sz w:val="20"/>
        </w:rPr>
        <w:t xml:space="preserve">, </w:t>
      </w:r>
      <w:r>
        <w:rPr>
          <w:sz w:val="20"/>
        </w:rPr>
        <w:t xml:space="preserve">ч. 1.1 ст. 31</w:t>
      </w:r>
      <w:r>
        <w:rPr>
          <w:sz w:val="20"/>
        </w:rPr>
        <w:t xml:space="preserve"> Федерального Закона РФ от 05.04.2013 N 44-ФЗ "О контрактной системе в сфере закупок товаров, работ, услуг для обеспечения государственных и муниципальных нужд", а именно: отсутствие в реестре недобросовестных поставщиков (подрядчиков, исполнителей)".</w:t>
      </w:r>
    </w:p>
    <w:p>
      <w:pPr>
        <w:pStyle w:val="0"/>
        <w:spacing w:before="200" w:line-rule="auto"/>
        <w:ind w:firstLine="540"/>
        <w:jc w:val="both"/>
      </w:pPr>
      <w:r>
        <w:rPr>
          <w:sz w:val="20"/>
        </w:rPr>
        <w:t xml:space="preserve">По мнению Заявителя, в ходе рассмотрения вторых частей заявок единая Комиссия Заказчика неправомерно отклонила заявку участника Аукциона N 140 на основании </w:t>
      </w:r>
      <w:r>
        <w:rPr>
          <w:sz w:val="20"/>
        </w:rPr>
        <w:t xml:space="preserve">пункта 2 части 6 статьи 69</w:t>
      </w:r>
      <w:r>
        <w:rPr>
          <w:sz w:val="20"/>
        </w:rPr>
        <w:t xml:space="preserve">, </w:t>
      </w:r>
      <w:r>
        <w:rPr>
          <w:sz w:val="20"/>
        </w:rPr>
        <w:t xml:space="preserve">части 1.1 статьи 31</w:t>
      </w:r>
      <w:r>
        <w:rPr>
          <w:sz w:val="20"/>
        </w:rPr>
        <w:t xml:space="preserve"> Закона о контрактной системе.</w:t>
      </w:r>
    </w:p>
    <w:p>
      <w:pPr>
        <w:pStyle w:val="0"/>
        <w:spacing w:before="200" w:line-rule="auto"/>
        <w:ind w:firstLine="540"/>
        <w:jc w:val="both"/>
      </w:pPr>
      <w:r>
        <w:rPr>
          <w:sz w:val="20"/>
        </w:rPr>
        <w:t xml:space="preserve">Пунктом 2 части 6 статьи 69</w:t>
      </w:r>
      <w:r>
        <w:rPr>
          <w:sz w:val="20"/>
        </w:rPr>
        <w:t xml:space="preserve"> Закона о контрактной системе установлено, что заявка на участие в электронном аукционе признается не соответствующей требованиям, установленным документацией о таком аукционе, в случае несоответствия участника такого аукциона требованиям, установленным в соответствии с </w:t>
      </w:r>
      <w:r>
        <w:rPr>
          <w:sz w:val="20"/>
        </w:rPr>
        <w:t xml:space="preserve">частью 1</w:t>
      </w:r>
      <w:r>
        <w:rPr>
          <w:sz w:val="20"/>
        </w:rPr>
        <w:t xml:space="preserve">, </w:t>
      </w:r>
      <w:r>
        <w:rPr>
          <w:sz w:val="20"/>
        </w:rPr>
        <w:t xml:space="preserve">частями 1.1</w:t>
      </w:r>
      <w:r>
        <w:rPr>
          <w:sz w:val="20"/>
        </w:rPr>
        <w:t xml:space="preserve">, </w:t>
      </w:r>
      <w:r>
        <w:rPr>
          <w:sz w:val="20"/>
        </w:rPr>
        <w:t xml:space="preserve">2</w:t>
      </w:r>
      <w:r>
        <w:rPr>
          <w:sz w:val="20"/>
        </w:rPr>
        <w:t xml:space="preserve"> и </w:t>
      </w:r>
      <w:r>
        <w:rPr>
          <w:sz w:val="20"/>
        </w:rPr>
        <w:t xml:space="preserve">2.1 (при наличии таких требований) статьи 31</w:t>
      </w:r>
      <w:r>
        <w:rPr>
          <w:sz w:val="20"/>
        </w:rPr>
        <w:t xml:space="preserve"> настоящего Федерального закона.</w:t>
      </w:r>
    </w:p>
    <w:p>
      <w:pPr>
        <w:pStyle w:val="0"/>
        <w:spacing w:before="200" w:line-rule="auto"/>
        <w:ind w:firstLine="540"/>
        <w:jc w:val="both"/>
      </w:pPr>
      <w:r>
        <w:rPr>
          <w:sz w:val="20"/>
        </w:rPr>
        <w:t xml:space="preserve">В соответствии с </w:t>
      </w:r>
      <w:r>
        <w:rPr>
          <w:sz w:val="20"/>
        </w:rPr>
        <w:t xml:space="preserve">частью 1.1 статьи 31</w:t>
      </w:r>
      <w:r>
        <w:rPr>
          <w:sz w:val="20"/>
        </w:rPr>
        <w:t xml:space="preserve"> Закона о контрактной системе заказчик вправе установить требование об отсутствии в предусмотренном настоящим Федеральным законом реестре недобросовестных поставщиков (подрядчиков, исполнителей).</w:t>
      </w:r>
    </w:p>
    <w:p>
      <w:pPr>
        <w:pStyle w:val="0"/>
        <w:spacing w:before="200" w:line-rule="auto"/>
        <w:ind w:firstLine="540"/>
        <w:jc w:val="both"/>
      </w:pPr>
      <w:r>
        <w:rPr>
          <w:sz w:val="20"/>
        </w:rPr>
        <w:t xml:space="preserve">В соответствии с извещением о проведении электронного аукциона и документацией об Аукционе объектом закупки являются автомобильные шины.</w:t>
      </w:r>
    </w:p>
    <w:p>
      <w:pPr>
        <w:pStyle w:val="0"/>
        <w:spacing w:before="200" w:line-rule="auto"/>
        <w:ind w:firstLine="540"/>
        <w:jc w:val="both"/>
      </w:pPr>
      <w:r>
        <w:rPr>
          <w:sz w:val="20"/>
        </w:rPr>
        <w:t xml:space="preserve">Согласно пункту 15 информационной карты аукционной документации заявка на участие в электронном аукционе признается не соответствующей требованиям, установленным настоящей документацией об электронном аукционе, в том числе, в случае несоответствия участника аукциона требованиям, установленным в соответствии с </w:t>
      </w:r>
      <w:r>
        <w:rPr>
          <w:sz w:val="20"/>
        </w:rPr>
        <w:t xml:space="preserve">частью 1</w:t>
      </w:r>
      <w:r>
        <w:rPr>
          <w:sz w:val="20"/>
        </w:rPr>
        <w:t xml:space="preserve">, </w:t>
      </w:r>
      <w:r>
        <w:rPr>
          <w:sz w:val="20"/>
        </w:rPr>
        <w:t xml:space="preserve">частями 1.1</w:t>
      </w:r>
      <w:r>
        <w:rPr>
          <w:sz w:val="20"/>
        </w:rPr>
        <w:t xml:space="preserve"> и </w:t>
      </w:r>
      <w:r>
        <w:rPr>
          <w:sz w:val="20"/>
        </w:rPr>
        <w:t xml:space="preserve">2 статьи 31</w:t>
      </w:r>
      <w:r>
        <w:rPr>
          <w:sz w:val="20"/>
        </w:rPr>
        <w:t xml:space="preserve"> Закона о контрактной системе (при наличии таких требований в настоящей информационной карте аукциона).</w:t>
      </w:r>
    </w:p>
    <w:p>
      <w:pPr>
        <w:pStyle w:val="0"/>
        <w:spacing w:before="200" w:line-rule="auto"/>
        <w:ind w:firstLine="540"/>
        <w:jc w:val="both"/>
      </w:pPr>
      <w:r>
        <w:rPr>
          <w:sz w:val="20"/>
        </w:rPr>
        <w:t xml:space="preserve">На заседании Комиссии установлено, что информация о Заявителе внесена в реестр недобросовестных поставщиков (подрядчиков, исполнителей), ведение которого предусмотрено Федеральным </w:t>
      </w:r>
      <w:r>
        <w:rPr>
          <w:sz w:val="20"/>
        </w:rPr>
        <w:t xml:space="preserve">законом</w:t>
      </w:r>
      <w:r>
        <w:rPr>
          <w:sz w:val="20"/>
        </w:rPr>
        <w:t xml:space="preserve"> от 18.07.2011 N 223-ФЗ "О закупках товаров, работ, услуг отдельными видами юридических лиц" (далее - Закон о закупках) (реестровый номер записи N Р2109563 от 05.07.2021 г.), при этом, </w:t>
      </w:r>
      <w:r>
        <w:rPr>
          <w:sz w:val="20"/>
        </w:rPr>
        <w:t xml:space="preserve">правила</w:t>
      </w:r>
      <w:r>
        <w:rPr>
          <w:sz w:val="20"/>
        </w:rPr>
        <w:t xml:space="preserve"> ведения реестра недобросовестных поставщиков по Закону о закупках определены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pPr>
        <w:pStyle w:val="0"/>
        <w:spacing w:before="200" w:line-rule="auto"/>
        <w:ind w:firstLine="540"/>
        <w:jc w:val="both"/>
      </w:pPr>
      <w:r>
        <w:rPr>
          <w:sz w:val="20"/>
        </w:rPr>
        <w:t xml:space="preserve">Вместе с тем, в соответствии с </w:t>
      </w:r>
      <w:r>
        <w:rPr>
          <w:sz w:val="20"/>
        </w:rPr>
        <w:t xml:space="preserve">Законом</w:t>
      </w:r>
      <w:r>
        <w:rPr>
          <w:sz w:val="20"/>
        </w:rPr>
        <w:t xml:space="preserve"> о контрактной системе осуществляется ведение реестра недобросовестных поставщиков в соответствии со </w:t>
      </w:r>
      <w:r>
        <w:rPr>
          <w:sz w:val="20"/>
        </w:rPr>
        <w:t xml:space="preserve">статьей 104</w:t>
      </w:r>
      <w:r>
        <w:rPr>
          <w:sz w:val="20"/>
        </w:rPr>
        <w:t xml:space="preserve"> Закона о контрактной системе и </w:t>
      </w:r>
      <w:r>
        <w:rPr>
          <w:sz w:val="20"/>
        </w:rPr>
        <w:t xml:space="preserve">Постановлением</w:t>
      </w:r>
      <w:r>
        <w:rPr>
          <w:sz w:val="20"/>
        </w:rPr>
        <w:t xml:space="preserve"> Правительства РФ от 25.11.2013 N 1062 "О порядке ведения реестра недобросовестных поставщиков (подрядчиков, исполнителей)".</w:t>
      </w:r>
    </w:p>
    <w:p>
      <w:pPr>
        <w:pStyle w:val="0"/>
        <w:spacing w:before="200" w:line-rule="auto"/>
        <w:ind w:firstLine="540"/>
        <w:jc w:val="both"/>
      </w:pPr>
      <w:r>
        <w:rPr>
          <w:sz w:val="20"/>
        </w:rPr>
        <w:t xml:space="preserve">Таким образом, законодательством Российской Федерации предусмотрено ведение двух реестров недобросовестных поставщиков.</w:t>
      </w:r>
    </w:p>
    <w:p>
      <w:pPr>
        <w:pStyle w:val="0"/>
        <w:spacing w:before="200" w:line-rule="auto"/>
        <w:ind w:firstLine="540"/>
        <w:jc w:val="both"/>
      </w:pPr>
      <w:r>
        <w:rPr>
          <w:sz w:val="20"/>
        </w:rPr>
        <w:t xml:space="preserve">Установлено, что сведения о Заявителе в реестре недобросовестных поставщиков, предусмотренном </w:t>
      </w:r>
      <w:r>
        <w:rPr>
          <w:sz w:val="20"/>
        </w:rPr>
        <w:t xml:space="preserve">Законом</w:t>
      </w:r>
      <w:r>
        <w:rPr>
          <w:sz w:val="20"/>
        </w:rPr>
        <w:t xml:space="preserve"> о контрактной системе, отсутствуют.</w:t>
      </w:r>
    </w:p>
    <w:p>
      <w:pPr>
        <w:pStyle w:val="0"/>
        <w:spacing w:before="200" w:line-rule="auto"/>
        <w:ind w:firstLine="540"/>
        <w:jc w:val="both"/>
      </w:pPr>
      <w:r>
        <w:rPr>
          <w:sz w:val="20"/>
        </w:rPr>
        <w:t xml:space="preserve">В ходе заседании Комиссии Марийского УФАС России представитель Заказчика с доводом жалобы Заявителя согласилась.</w:t>
      </w:r>
    </w:p>
    <w:p>
      <w:pPr>
        <w:pStyle w:val="0"/>
        <w:spacing w:before="200" w:line-rule="auto"/>
        <w:ind w:firstLine="540"/>
        <w:jc w:val="both"/>
      </w:pPr>
      <w:r>
        <w:rPr>
          <w:sz w:val="20"/>
        </w:rPr>
        <w:t xml:space="preserve">На основании вышеизложенного Комиссия Марийского УФАС России приходит к выводу, что единая Комиссия Заказчика неправомерно признала заявку участника Аукциона N 140 несоответствующей требованиям </w:t>
      </w:r>
      <w:r>
        <w:rPr>
          <w:sz w:val="20"/>
        </w:rPr>
        <w:t xml:space="preserve">Закона</w:t>
      </w:r>
      <w:r>
        <w:rPr>
          <w:sz w:val="20"/>
        </w:rPr>
        <w:t xml:space="preserve"> о контрактной системе, что является нарушением требования </w:t>
      </w:r>
      <w:r>
        <w:rPr>
          <w:sz w:val="20"/>
        </w:rPr>
        <w:t xml:space="preserve">пункта 2 части 6 статьи 69</w:t>
      </w:r>
      <w:r>
        <w:rPr>
          <w:sz w:val="20"/>
        </w:rPr>
        <w:t xml:space="preserve"> Закона о контрактной системе.</w:t>
      </w:r>
    </w:p>
    <w:p>
      <w:pPr>
        <w:pStyle w:val="0"/>
        <w:spacing w:before="200" w:line-rule="auto"/>
        <w:ind w:firstLine="540"/>
        <w:jc w:val="both"/>
      </w:pPr>
      <w:r>
        <w:rPr>
          <w:sz w:val="20"/>
        </w:rPr>
        <w:t xml:space="preserve">Согласно </w:t>
      </w:r>
      <w:r>
        <w:rPr>
          <w:sz w:val="20"/>
        </w:rPr>
        <w:t xml:space="preserve">пункту 2 части 22 статьи 99</w:t>
      </w:r>
      <w:r>
        <w:rPr>
          <w:sz w:val="20"/>
        </w:rPr>
        <w:t xml:space="preserve"> Закона о контрактной системе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pPr>
        <w:pStyle w:val="0"/>
        <w:spacing w:before="200" w:line-rule="auto"/>
        <w:ind w:firstLine="540"/>
        <w:jc w:val="both"/>
      </w:pPr>
      <w:r>
        <w:rPr>
          <w:sz w:val="20"/>
        </w:rPr>
        <w:t xml:space="preserve">Частью 8 статьи 106</w:t>
      </w:r>
      <w:r>
        <w:rPr>
          <w:sz w:val="20"/>
        </w:rPr>
        <w:t xml:space="preserve"> Закона о контрактной системе предусмотрено, что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w:t>
      </w:r>
    </w:p>
    <w:p>
      <w:pPr>
        <w:pStyle w:val="0"/>
        <w:spacing w:before="200" w:line-rule="auto"/>
        <w:ind w:firstLine="540"/>
        <w:jc w:val="both"/>
      </w:pPr>
      <w:r>
        <w:rPr>
          <w:sz w:val="20"/>
        </w:rPr>
        <w:t xml:space="preserve">Учитывая изложенное, Комиссия в соответствии с </w:t>
      </w:r>
      <w:r>
        <w:rPr>
          <w:sz w:val="20"/>
        </w:rPr>
        <w:t xml:space="preserve">частью 8 статьи 106</w:t>
      </w:r>
      <w:r>
        <w:rPr>
          <w:sz w:val="20"/>
        </w:rPr>
        <w:t xml:space="preserve"> Закона о контрактной системе принимает решение о признании жалобы обоснованной и необходимости выдачи заказчику обязательного для исполнения предписания об устранении нарушений законодательства.</w:t>
      </w:r>
    </w:p>
    <w:p>
      <w:pPr>
        <w:pStyle w:val="0"/>
        <w:spacing w:before="200" w:line-rule="auto"/>
        <w:ind w:firstLine="540"/>
        <w:jc w:val="both"/>
      </w:pPr>
      <w:r>
        <w:rPr>
          <w:sz w:val="20"/>
        </w:rPr>
        <w:t xml:space="preserve">На основании вышеизложенного и руководствуясь </w:t>
      </w:r>
      <w:r>
        <w:rPr>
          <w:sz w:val="20"/>
        </w:rPr>
        <w:t xml:space="preserve">частью 8 статьи 106</w:t>
      </w:r>
      <w:r>
        <w:rPr>
          <w:sz w:val="20"/>
        </w:rPr>
        <w:t xml:space="preserve"> Закона о контрактной системе, Комиссия,</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ООО "Т" обоснованной.</w:t>
      </w:r>
    </w:p>
    <w:p>
      <w:pPr>
        <w:pStyle w:val="0"/>
        <w:spacing w:before="200" w:line-rule="auto"/>
        <w:ind w:firstLine="540"/>
        <w:jc w:val="both"/>
      </w:pPr>
      <w:r>
        <w:rPr>
          <w:sz w:val="20"/>
        </w:rPr>
        <w:t xml:space="preserve">2. Признать в действиях заказчика - ГБУ РМЭ "С" нарушение требований </w:t>
      </w:r>
      <w:r>
        <w:rPr>
          <w:sz w:val="20"/>
        </w:rPr>
        <w:t xml:space="preserve">пункта 2 части 6 статьи 69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3. Выдать заказчику обязательное для исполнения предписание об устранении нарушений законодательства.</w:t>
      </w:r>
    </w:p>
    <w:p>
      <w:pPr>
        <w:pStyle w:val="0"/>
        <w:spacing w:before="200" w:line-rule="auto"/>
        <w:ind w:firstLine="540"/>
        <w:jc w:val="both"/>
      </w:pPr>
      <w:r>
        <w:rPr>
          <w:sz w:val="20"/>
        </w:rPr>
        <w:t xml:space="preserve">4. Передать материалы дела уполномоченному должностному лицу для рассмотрения вопроса о возбуждении дела об административном правонарушении в отношении должностных лиц заказчика, допустивших нарушение законодательства.</w:t>
      </w:r>
    </w:p>
    <w:p>
      <w:pPr>
        <w:pStyle w:val="0"/>
        <w:spacing w:before="200" w:line-rule="auto"/>
        <w:ind w:firstLine="540"/>
        <w:jc w:val="both"/>
      </w:pPr>
      <w:r>
        <w:rPr>
          <w:sz w:val="20"/>
        </w:rPr>
        <w:t xml:space="preserve">В соответствии с частью 9 статьи 106 Закона о контрактной системе решение, принятое по результатам рассмотрения жалобы, может быть обжаловано в судебном порядке в течение трех месяцев со дня его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Марийского УФАС России от 23.11.2021 по делу N 012/06/106-1065/2021
Нарушение: п. 2 ч. 6 ст. 69 Закона о контрактной системе.
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dc:title>
  <dcterms:created xsi:type="dcterms:W3CDTF">2022-10-03T09:36:26Z</dcterms:created>
</cp:coreProperties>
</file>